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58ABB" w14:textId="720088E8" w:rsidR="004438FD" w:rsidRPr="004438FD" w:rsidRDefault="004D3D3A" w:rsidP="004438FD">
      <w:pPr>
        <w:jc w:val="center"/>
        <w:rPr>
          <w:rFonts w:ascii="Century Gothic" w:hAnsi="Century Gothic"/>
          <w:b/>
          <w:bCs/>
          <w:sz w:val="28"/>
          <w:szCs w:val="28"/>
        </w:rPr>
      </w:pPr>
      <w:r>
        <w:rPr>
          <w:rFonts w:ascii="Century Gothic" w:hAnsi="Century Gothic"/>
          <w:b/>
          <w:bCs/>
          <w:sz w:val="28"/>
          <w:szCs w:val="28"/>
        </w:rPr>
        <w:t>Ageism Awareness Day – Sample Press Release</w:t>
      </w:r>
    </w:p>
    <w:p w14:paraId="05071710" w14:textId="4A6CFE40" w:rsidR="00EC754C" w:rsidRPr="00EC754C" w:rsidRDefault="00EC754C" w:rsidP="00EC754C">
      <w:pPr>
        <w:rPr>
          <w:rFonts w:ascii="Century Gothic" w:hAnsi="Century Gothic"/>
        </w:rPr>
      </w:pPr>
      <w:r>
        <w:rPr>
          <w:rFonts w:ascii="Century Gothic" w:hAnsi="Century Gothic"/>
        </w:rPr>
        <w:br/>
      </w:r>
      <w:r w:rsidRPr="00EC754C">
        <w:rPr>
          <w:rFonts w:ascii="Century Gothic" w:hAnsi="Century Gothic"/>
        </w:rPr>
        <w:t xml:space="preserve">For Immediate Release: </w:t>
      </w:r>
      <w:r w:rsidRPr="00DD4B5E">
        <w:rPr>
          <w:rFonts w:ascii="Century Gothic" w:hAnsi="Century Gothic"/>
          <w:highlight w:val="lightGray"/>
        </w:rPr>
        <w:t>[Date]</w:t>
      </w:r>
      <w:r w:rsidRPr="00EC754C">
        <w:rPr>
          <w:rFonts w:ascii="Century Gothic" w:hAnsi="Century Gothic"/>
        </w:rPr>
        <w:t> </w:t>
      </w:r>
    </w:p>
    <w:p w14:paraId="0D8FF063" w14:textId="77777777" w:rsidR="00EC754C" w:rsidRDefault="00EC754C" w:rsidP="00EC754C">
      <w:pPr>
        <w:rPr>
          <w:rFonts w:ascii="Century Gothic" w:hAnsi="Century Gothic"/>
        </w:rPr>
      </w:pPr>
      <w:r w:rsidRPr="00EC754C">
        <w:rPr>
          <w:rFonts w:ascii="Century Gothic" w:hAnsi="Century Gothic"/>
        </w:rPr>
        <w:t xml:space="preserve">Contact: </w:t>
      </w:r>
      <w:r w:rsidRPr="00DD4B5E">
        <w:rPr>
          <w:rFonts w:ascii="Century Gothic" w:hAnsi="Century Gothic"/>
          <w:highlight w:val="lightGray"/>
        </w:rPr>
        <w:t>[</w:t>
      </w:r>
      <w:r w:rsidRPr="00EC754C">
        <w:rPr>
          <w:rFonts w:ascii="Century Gothic" w:hAnsi="Century Gothic"/>
          <w:highlight w:val="lightGray"/>
        </w:rPr>
        <w:t>Your contact name, email, phone</w:t>
      </w:r>
      <w:r w:rsidRPr="00DD4B5E">
        <w:rPr>
          <w:rFonts w:ascii="Century Gothic" w:hAnsi="Century Gothic"/>
          <w:highlight w:val="lightGray"/>
        </w:rPr>
        <w:t>]</w:t>
      </w:r>
    </w:p>
    <w:p w14:paraId="02D64AAD" w14:textId="77777777" w:rsidR="00EC754C" w:rsidRDefault="00EC754C" w:rsidP="00EC754C">
      <w:pPr>
        <w:rPr>
          <w:rFonts w:ascii="Century Gothic" w:hAnsi="Century Gothic"/>
        </w:rPr>
      </w:pPr>
    </w:p>
    <w:p w14:paraId="7E5E992D" w14:textId="77777777" w:rsidR="00EC754C" w:rsidRDefault="00EC754C" w:rsidP="00EC754C">
      <w:pPr>
        <w:rPr>
          <w:rFonts w:ascii="Century Gothic" w:hAnsi="Century Gothic"/>
        </w:rPr>
      </w:pPr>
      <w:r w:rsidRPr="00EC754C">
        <w:rPr>
          <w:rFonts w:ascii="Century Gothic" w:hAnsi="Century Gothic"/>
          <w:b/>
          <w:bCs/>
        </w:rPr>
        <w:t>The American Society on Aging Joins Allies Across the Globe in Celebration of Ageism Awareness Day</w:t>
      </w:r>
    </w:p>
    <w:p w14:paraId="13E2CF63" w14:textId="77777777" w:rsidR="00EC754C" w:rsidRDefault="00EC754C" w:rsidP="00EC754C">
      <w:pPr>
        <w:rPr>
          <w:rFonts w:ascii="Century Gothic" w:hAnsi="Century Gothic"/>
        </w:rPr>
      </w:pPr>
    </w:p>
    <w:p w14:paraId="3585E0C0" w14:textId="71D8B206" w:rsidR="00D3285D" w:rsidRDefault="00EC754C" w:rsidP="00EC754C">
      <w:pPr>
        <w:rPr>
          <w:rFonts w:ascii="Century Gothic" w:hAnsi="Century Gothic"/>
        </w:rPr>
      </w:pPr>
      <w:r w:rsidRPr="00DD4B5E">
        <w:rPr>
          <w:rFonts w:ascii="Century Gothic" w:hAnsi="Century Gothic"/>
          <w:b/>
          <w:bCs/>
          <w:highlight w:val="lightGray"/>
        </w:rPr>
        <w:t>[</w:t>
      </w:r>
      <w:r w:rsidRPr="00EC754C">
        <w:rPr>
          <w:rFonts w:ascii="Century Gothic" w:hAnsi="Century Gothic"/>
          <w:b/>
          <w:bCs/>
          <w:highlight w:val="lightGray"/>
        </w:rPr>
        <w:t>Your City Name</w:t>
      </w:r>
      <w:r w:rsidRPr="00DD4B5E">
        <w:rPr>
          <w:rFonts w:ascii="Century Gothic" w:hAnsi="Century Gothic"/>
          <w:b/>
          <w:bCs/>
          <w:highlight w:val="lightGray"/>
        </w:rPr>
        <w:t>]</w:t>
      </w:r>
      <w:r w:rsidRPr="00EC754C">
        <w:rPr>
          <w:rFonts w:ascii="Century Gothic" w:hAnsi="Century Gothic"/>
          <w:b/>
          <w:bCs/>
        </w:rPr>
        <w:t xml:space="preserve"> </w:t>
      </w:r>
      <w:r w:rsidR="00D3285D" w:rsidRPr="00D3285D">
        <w:rPr>
          <w:rFonts w:ascii="Century Gothic" w:hAnsi="Century Gothic"/>
        </w:rPr>
        <w:t>–</w:t>
      </w:r>
      <w:r w:rsidRPr="00EC754C">
        <w:rPr>
          <w:rFonts w:ascii="Century Gothic" w:hAnsi="Century Gothic"/>
        </w:rPr>
        <w:t xml:space="preserve"> </w:t>
      </w:r>
      <w:r w:rsidR="00D3285D" w:rsidRPr="00DD4B5E">
        <w:rPr>
          <w:rFonts w:ascii="Century Gothic" w:hAnsi="Century Gothic"/>
          <w:highlight w:val="lightGray"/>
        </w:rPr>
        <w:t>[</w:t>
      </w:r>
      <w:r w:rsidRPr="00EC754C">
        <w:rPr>
          <w:rFonts w:ascii="Century Gothic" w:hAnsi="Century Gothic"/>
          <w:highlight w:val="lightGray"/>
        </w:rPr>
        <w:t>Your Organization</w:t>
      </w:r>
      <w:r w:rsidR="00D3285D" w:rsidRPr="00DD4B5E">
        <w:rPr>
          <w:rFonts w:ascii="Century Gothic" w:hAnsi="Century Gothic"/>
          <w:highlight w:val="lightGray"/>
        </w:rPr>
        <w:t>]</w:t>
      </w:r>
      <w:r w:rsidR="00D3285D">
        <w:rPr>
          <w:rFonts w:ascii="Century Gothic" w:hAnsi="Century Gothic"/>
        </w:rPr>
        <w:t xml:space="preserve"> </w:t>
      </w:r>
      <w:r w:rsidRPr="00EC754C">
        <w:rPr>
          <w:rFonts w:ascii="Century Gothic" w:hAnsi="Century Gothic"/>
        </w:rPr>
        <w:t>and the American Society on Aging (ASA)</w:t>
      </w:r>
      <w:r w:rsidR="00DD4B5E">
        <w:rPr>
          <w:rFonts w:ascii="Century Gothic" w:hAnsi="Century Gothic"/>
        </w:rPr>
        <w:t xml:space="preserve"> </w:t>
      </w:r>
      <w:r w:rsidRPr="00EC754C">
        <w:rPr>
          <w:rFonts w:ascii="Century Gothic" w:hAnsi="Century Gothic"/>
        </w:rPr>
        <w:t>will celebrate Ageism Awareness Day on Oct. 9, 2024. Modeled after the United Nation’s International Day of Older Persons (Oct. 1), Ageism Awareness Day provides an opportunity to draw attention to the existence and impact of ageism in our society.</w:t>
      </w:r>
    </w:p>
    <w:p w14:paraId="00CD64ED" w14:textId="77777777" w:rsidR="00152ED3" w:rsidRDefault="00EC754C" w:rsidP="00EC754C">
      <w:pPr>
        <w:rPr>
          <w:rFonts w:ascii="Century Gothic" w:hAnsi="Century Gothic"/>
        </w:rPr>
      </w:pPr>
      <w:r w:rsidRPr="00EC754C">
        <w:rPr>
          <w:rFonts w:ascii="Century Gothic" w:hAnsi="Century Gothic"/>
        </w:rPr>
        <w:t>“We live in an aging society, which is a wonderful, remarkable thing,” says ASA’s President &amp; CEO Leanne Clark-Shirley, PhD. “However, too many of us view aging with fear, denial and even hostility. We are all growing older. We can’t afford to limit ourselves and other people with such negative and harmful views, and why would we want to? Let’s lean into the opportunities, diversity and full range of experiences that come with aging.”</w:t>
      </w:r>
    </w:p>
    <w:p w14:paraId="0DE2EBD8" w14:textId="77777777" w:rsidR="00152ED3" w:rsidRDefault="00EC754C" w:rsidP="00EC754C">
      <w:pPr>
        <w:rPr>
          <w:rFonts w:ascii="Century Gothic" w:hAnsi="Century Gothic"/>
        </w:rPr>
      </w:pPr>
      <w:r w:rsidRPr="00EC754C">
        <w:rPr>
          <w:rFonts w:ascii="Century Gothic" w:hAnsi="Century Gothic"/>
        </w:rPr>
        <w:t xml:space="preserve">One of the most widespread and socially accepted forms of prejudice, ageism is defined by the World Health Organization as “the stereotypes (how we think), prejudices (how we feel) and discrimination (how we act) towards others or oneself based on </w:t>
      </w:r>
      <w:hyperlink r:id="rId9" w:history="1">
        <w:r w:rsidRPr="00EC754C">
          <w:rPr>
            <w:rStyle w:val="Hyperlink"/>
            <w:rFonts w:ascii="Century Gothic" w:hAnsi="Century Gothic"/>
          </w:rPr>
          <w:t>age</w:t>
        </w:r>
      </w:hyperlink>
      <w:r w:rsidRPr="00EC754C">
        <w:rPr>
          <w:rFonts w:ascii="Century Gothic" w:hAnsi="Century Gothic"/>
        </w:rPr>
        <w:t>.”  It impacts us at all ages, every time people make assumptions about us because of our age</w:t>
      </w:r>
      <w:r w:rsidR="00152ED3">
        <w:rPr>
          <w:rFonts w:ascii="Century Gothic" w:hAnsi="Century Gothic"/>
        </w:rPr>
        <w:t>.</w:t>
      </w:r>
    </w:p>
    <w:p w14:paraId="1D9ABA94" w14:textId="77777777" w:rsidR="00152ED3" w:rsidRDefault="00EC754C" w:rsidP="00EC754C">
      <w:pPr>
        <w:rPr>
          <w:rFonts w:ascii="Century Gothic" w:hAnsi="Century Gothic"/>
        </w:rPr>
      </w:pPr>
      <w:r w:rsidRPr="00EC754C">
        <w:rPr>
          <w:rFonts w:ascii="Century Gothic" w:hAnsi="Century Gothic"/>
        </w:rPr>
        <w:t>Evidence shows ageism can be found everywhere, from our workplaces and health systems to stereotypes we see in entertainment, advertising and the media.</w:t>
      </w:r>
    </w:p>
    <w:p w14:paraId="4F8726E8" w14:textId="6B43A841" w:rsidR="00EC754C" w:rsidRPr="00EC754C" w:rsidRDefault="00EC754C" w:rsidP="00EC754C">
      <w:pPr>
        <w:rPr>
          <w:rFonts w:ascii="Century Gothic" w:hAnsi="Century Gothic"/>
        </w:rPr>
      </w:pPr>
      <w:r w:rsidRPr="00EC754C">
        <w:rPr>
          <w:rFonts w:ascii="Century Gothic" w:hAnsi="Century Gothic"/>
        </w:rPr>
        <w:t>A few facts about ageism, which affects people of any age and harms all:</w:t>
      </w:r>
      <w:r w:rsidRPr="00EC754C">
        <w:rPr>
          <w:rFonts w:ascii="Century Gothic" w:hAnsi="Century Gothic"/>
        </w:rPr>
        <w:tab/>
      </w:r>
    </w:p>
    <w:p w14:paraId="0EEC7C9C" w14:textId="77777777" w:rsidR="00EC754C" w:rsidRPr="00EC754C" w:rsidRDefault="00EC754C" w:rsidP="00EC754C">
      <w:pPr>
        <w:rPr>
          <w:rFonts w:ascii="Century Gothic" w:hAnsi="Century Gothic"/>
        </w:rPr>
      </w:pPr>
      <w:r w:rsidRPr="00EC754C">
        <w:rPr>
          <w:rFonts w:ascii="Century Gothic" w:hAnsi="Century Gothic"/>
        </w:rPr>
        <w:lastRenderedPageBreak/>
        <w:t> </w:t>
      </w:r>
    </w:p>
    <w:p w14:paraId="2175167C" w14:textId="76A66533" w:rsidR="00EC754C" w:rsidRPr="00EC754C" w:rsidRDefault="00EC754C" w:rsidP="00EC754C">
      <w:pPr>
        <w:numPr>
          <w:ilvl w:val="0"/>
          <w:numId w:val="1"/>
        </w:numPr>
        <w:rPr>
          <w:rFonts w:ascii="Century Gothic" w:hAnsi="Century Gothic"/>
        </w:rPr>
      </w:pPr>
      <w:r w:rsidRPr="00EC754C">
        <w:rPr>
          <w:rFonts w:ascii="Century Gothic" w:hAnsi="Century Gothic"/>
        </w:rPr>
        <w:t xml:space="preserve">There are many forms of ageism, including internalized, cultural, implicit, institutional and </w:t>
      </w:r>
      <w:hyperlink r:id="rId10" w:history="1">
        <w:r w:rsidRPr="00EC754C">
          <w:rPr>
            <w:rStyle w:val="Hyperlink"/>
            <w:rFonts w:ascii="Century Gothic" w:hAnsi="Century Gothic"/>
          </w:rPr>
          <w:t>benevolent</w:t>
        </w:r>
      </w:hyperlink>
      <w:r w:rsidRPr="00EC754C">
        <w:rPr>
          <w:rFonts w:ascii="Century Gothic" w:hAnsi="Century Gothic"/>
        </w:rPr>
        <w:t>. </w:t>
      </w:r>
    </w:p>
    <w:p w14:paraId="23EC5429" w14:textId="77777777" w:rsidR="00EC754C" w:rsidRPr="00EC754C" w:rsidRDefault="00EC754C" w:rsidP="00EC754C">
      <w:pPr>
        <w:numPr>
          <w:ilvl w:val="0"/>
          <w:numId w:val="2"/>
        </w:numPr>
        <w:rPr>
          <w:rFonts w:ascii="Century Gothic" w:hAnsi="Century Gothic"/>
        </w:rPr>
      </w:pPr>
      <w:r w:rsidRPr="00EC754C">
        <w:rPr>
          <w:rFonts w:ascii="Century Gothic" w:hAnsi="Century Gothic"/>
        </w:rPr>
        <w:t xml:space="preserve">Negative self-perceptions of aging decrease quality of life and can shorten lifespan by </w:t>
      </w:r>
      <w:hyperlink r:id="rId11" w:history="1">
        <w:r w:rsidRPr="00EC754C">
          <w:rPr>
            <w:rStyle w:val="Hyperlink"/>
            <w:rFonts w:ascii="Century Gothic" w:hAnsi="Century Gothic"/>
          </w:rPr>
          <w:t>7.5 years</w:t>
        </w:r>
      </w:hyperlink>
      <w:r w:rsidRPr="00EC754C">
        <w:rPr>
          <w:rFonts w:ascii="Century Gothic" w:hAnsi="Century Gothic"/>
        </w:rPr>
        <w:t>.</w:t>
      </w:r>
    </w:p>
    <w:p w14:paraId="3C657CD1" w14:textId="77777777" w:rsidR="00EC754C" w:rsidRPr="00EC754C" w:rsidRDefault="00EC754C" w:rsidP="00EC754C">
      <w:pPr>
        <w:numPr>
          <w:ilvl w:val="0"/>
          <w:numId w:val="2"/>
        </w:numPr>
        <w:rPr>
          <w:rFonts w:ascii="Century Gothic" w:hAnsi="Century Gothic"/>
        </w:rPr>
      </w:pPr>
      <w:r w:rsidRPr="00EC754C">
        <w:rPr>
          <w:rFonts w:ascii="Century Gothic" w:hAnsi="Century Gothic"/>
        </w:rPr>
        <w:t xml:space="preserve">Ageism intersects with, and </w:t>
      </w:r>
      <w:hyperlink r:id="rId12" w:history="1">
        <w:r w:rsidRPr="00EC754C">
          <w:rPr>
            <w:rStyle w:val="Hyperlink"/>
            <w:rFonts w:ascii="Century Gothic" w:hAnsi="Century Gothic"/>
          </w:rPr>
          <w:t>exacerbates</w:t>
        </w:r>
      </w:hyperlink>
      <w:r w:rsidRPr="00EC754C">
        <w:rPr>
          <w:rFonts w:ascii="Century Gothic" w:hAnsi="Century Gothic"/>
        </w:rPr>
        <w:t>, other discriminatory “isms,” like racism.</w:t>
      </w:r>
    </w:p>
    <w:p w14:paraId="1C722230" w14:textId="3DADB22D" w:rsidR="00EC754C" w:rsidRPr="00EC754C" w:rsidRDefault="00EC754C" w:rsidP="00EC754C">
      <w:pPr>
        <w:numPr>
          <w:ilvl w:val="0"/>
          <w:numId w:val="2"/>
        </w:numPr>
        <w:rPr>
          <w:rFonts w:ascii="Century Gothic" w:hAnsi="Century Gothic"/>
        </w:rPr>
      </w:pPr>
      <w:r w:rsidRPr="00EC754C">
        <w:rPr>
          <w:rFonts w:ascii="Century Gothic" w:hAnsi="Century Gothic"/>
        </w:rPr>
        <w:t xml:space="preserve">In the </w:t>
      </w:r>
      <w:hyperlink r:id="rId13" w:history="1">
        <w:r w:rsidRPr="00EC754C">
          <w:rPr>
            <w:rStyle w:val="Hyperlink"/>
            <w:rFonts w:ascii="Century Gothic" w:hAnsi="Century Gothic"/>
          </w:rPr>
          <w:t>media,</w:t>
        </w:r>
      </w:hyperlink>
      <w:r w:rsidRPr="00EC754C">
        <w:rPr>
          <w:rFonts w:ascii="Century Gothic" w:hAnsi="Century Gothic"/>
        </w:rPr>
        <w:t xml:space="preserve"> older adults are un</w:t>
      </w:r>
      <w:r w:rsidR="005E252C">
        <w:rPr>
          <w:rFonts w:ascii="Century Gothic" w:hAnsi="Century Gothic"/>
        </w:rPr>
        <w:t>der</w:t>
      </w:r>
      <w:r w:rsidRPr="00EC754C">
        <w:rPr>
          <w:rFonts w:ascii="Century Gothic" w:hAnsi="Century Gothic"/>
        </w:rPr>
        <w:t xml:space="preserve">represented and more often portrayed using </w:t>
      </w:r>
      <w:hyperlink r:id="rId14" w:history="1">
        <w:r w:rsidRPr="00EC754C">
          <w:rPr>
            <w:rStyle w:val="Hyperlink"/>
            <w:rFonts w:ascii="Century Gothic" w:hAnsi="Century Gothic"/>
          </w:rPr>
          <w:t>negative stereotypes</w:t>
        </w:r>
      </w:hyperlink>
      <w:r w:rsidRPr="00EC754C">
        <w:rPr>
          <w:rFonts w:ascii="Century Gothic" w:hAnsi="Century Gothic"/>
        </w:rPr>
        <w:t>.</w:t>
      </w:r>
    </w:p>
    <w:p w14:paraId="50AC8274" w14:textId="77777777" w:rsidR="00DD4B5E" w:rsidRDefault="00EC754C" w:rsidP="00EC754C">
      <w:pPr>
        <w:numPr>
          <w:ilvl w:val="0"/>
          <w:numId w:val="2"/>
        </w:numPr>
        <w:rPr>
          <w:rFonts w:ascii="Century Gothic" w:hAnsi="Century Gothic"/>
        </w:rPr>
      </w:pPr>
      <w:r w:rsidRPr="00EC754C">
        <w:rPr>
          <w:rFonts w:ascii="Century Gothic" w:hAnsi="Century Gothic"/>
        </w:rPr>
        <w:t xml:space="preserve">According to the United Nations, on a global scale, </w:t>
      </w:r>
      <w:hyperlink r:id="rId15" w:history="1">
        <w:r w:rsidRPr="00EC754C">
          <w:rPr>
            <w:rStyle w:val="Hyperlink"/>
            <w:rFonts w:ascii="Century Gothic" w:hAnsi="Century Gothic"/>
          </w:rPr>
          <w:t>one in two people are ageist</w:t>
        </w:r>
      </w:hyperlink>
      <w:r w:rsidRPr="00EC754C">
        <w:rPr>
          <w:rFonts w:ascii="Century Gothic" w:hAnsi="Century Gothic"/>
        </w:rPr>
        <w:t>.</w:t>
      </w:r>
    </w:p>
    <w:p w14:paraId="5416360F" w14:textId="547870F2" w:rsidR="00DD4B5E" w:rsidRDefault="00EC754C" w:rsidP="00EC754C">
      <w:pPr>
        <w:rPr>
          <w:rFonts w:ascii="Century Gothic" w:hAnsi="Century Gothic"/>
        </w:rPr>
      </w:pPr>
      <w:r w:rsidRPr="00EC754C">
        <w:rPr>
          <w:rFonts w:ascii="Century Gothic" w:hAnsi="Century Gothic"/>
        </w:rPr>
        <w:t>“The American Society on Aging and our members, partners and allies are raising awareness about ageism and its harms,” adds Clark-Shirley, “so we can each take steps to change how we feel and act about aging. I hope you will join us!”</w:t>
      </w:r>
    </w:p>
    <w:p w14:paraId="13916772" w14:textId="46D69C35" w:rsidR="00EC754C" w:rsidRPr="00EC754C" w:rsidRDefault="00EC754C" w:rsidP="00EC754C">
      <w:pPr>
        <w:rPr>
          <w:rFonts w:ascii="Century Gothic" w:hAnsi="Century Gothic"/>
        </w:rPr>
      </w:pPr>
      <w:r w:rsidRPr="00EC754C">
        <w:rPr>
          <w:rFonts w:ascii="Century Gothic" w:hAnsi="Century Gothic"/>
        </w:rPr>
        <w:t xml:space="preserve">Learn more about ageism and how to take action </w:t>
      </w:r>
      <w:r w:rsidR="00AA57AF">
        <w:rPr>
          <w:rFonts w:ascii="Century Gothic" w:hAnsi="Century Gothic"/>
        </w:rPr>
        <w:t>on</w:t>
      </w:r>
      <w:r w:rsidRPr="00EC754C">
        <w:rPr>
          <w:rFonts w:ascii="Century Gothic" w:hAnsi="Century Gothic"/>
        </w:rPr>
        <w:t xml:space="preserve"> the ASA Ageism Awareness Day </w:t>
      </w:r>
      <w:hyperlink r:id="rId16" w:history="1">
        <w:r w:rsidRPr="00EC754C">
          <w:rPr>
            <w:rStyle w:val="Hyperlink"/>
            <w:rFonts w:ascii="Century Gothic" w:hAnsi="Century Gothic"/>
          </w:rPr>
          <w:t>webpage</w:t>
        </w:r>
      </w:hyperlink>
      <w:r w:rsidRPr="00EC754C">
        <w:rPr>
          <w:rFonts w:ascii="Century Gothic" w:hAnsi="Century Gothic"/>
        </w:rPr>
        <w:t>.</w:t>
      </w:r>
    </w:p>
    <w:p w14:paraId="4C3A4067" w14:textId="611FD47F" w:rsidR="00EC754C" w:rsidRPr="00EC754C" w:rsidRDefault="00EC754C" w:rsidP="00EC754C">
      <w:pPr>
        <w:rPr>
          <w:rFonts w:ascii="Century Gothic" w:hAnsi="Century Gothic"/>
        </w:rPr>
      </w:pPr>
    </w:p>
    <w:p w14:paraId="71C58DE6" w14:textId="77777777" w:rsidR="00EC754C" w:rsidRPr="00EC754C" w:rsidRDefault="00EC754C" w:rsidP="00EC754C">
      <w:pPr>
        <w:rPr>
          <w:rFonts w:ascii="Century Gothic" w:hAnsi="Century Gothic"/>
        </w:rPr>
      </w:pPr>
      <w:r w:rsidRPr="00EC754C">
        <w:rPr>
          <w:rFonts w:ascii="Century Gothic" w:hAnsi="Century Gothic"/>
          <w:u w:val="single"/>
        </w:rPr>
        <w:t>About the American Society on Aging</w:t>
      </w:r>
      <w:r w:rsidRPr="00EC754C">
        <w:rPr>
          <w:rFonts w:ascii="Century Gothic" w:hAnsi="Century Gothic"/>
        </w:rPr>
        <w:t> </w:t>
      </w:r>
    </w:p>
    <w:p w14:paraId="2F2580EA" w14:textId="2C369BC6" w:rsidR="004438FD" w:rsidRPr="004438FD" w:rsidRDefault="00EC754C" w:rsidP="00EC754C">
      <w:pPr>
        <w:rPr>
          <w:rFonts w:ascii="Century Gothic" w:hAnsi="Century Gothic"/>
        </w:rPr>
      </w:pPr>
      <w:r w:rsidRPr="00EC754C">
        <w:rPr>
          <w:rFonts w:ascii="Century Gothic" w:hAnsi="Century Gothic"/>
        </w:rPr>
        <w:t xml:space="preserve">The American Society on Aging unites, empowers, and champions everyone working in aging. Since 1954, ASA has developed and led the largest, most diverse community of professionals working in aging in America. As a result, ASA has become the go-to source to cultivate leadership, advance knowledge, and strengthen the skills of our members and others who work with and on behalf of older adults. For further information about ASA, visit </w:t>
      </w:r>
      <w:hyperlink r:id="rId17" w:history="1">
        <w:r w:rsidRPr="00EC754C">
          <w:rPr>
            <w:rStyle w:val="Hyperlink"/>
            <w:rFonts w:ascii="Century Gothic" w:hAnsi="Century Gothic"/>
          </w:rPr>
          <w:t>www.asaging.org</w:t>
        </w:r>
      </w:hyperlink>
      <w:r w:rsidRPr="00EC754C">
        <w:rPr>
          <w:rFonts w:ascii="Century Gothic" w:hAnsi="Century Gothic"/>
        </w:rPr>
        <w:t>.</w:t>
      </w:r>
    </w:p>
    <w:sectPr w:rsidR="004438FD" w:rsidRPr="004438FD" w:rsidSect="004438FD">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BB4EF" w14:textId="77777777" w:rsidR="006D19CA" w:rsidRDefault="006D19CA" w:rsidP="004438FD">
      <w:pPr>
        <w:spacing w:after="0" w:line="240" w:lineRule="auto"/>
      </w:pPr>
      <w:r>
        <w:separator/>
      </w:r>
    </w:p>
  </w:endnote>
  <w:endnote w:type="continuationSeparator" w:id="0">
    <w:p w14:paraId="374EC10C" w14:textId="77777777" w:rsidR="006D19CA" w:rsidRDefault="006D19CA" w:rsidP="004438FD">
      <w:pPr>
        <w:spacing w:after="0" w:line="240" w:lineRule="auto"/>
      </w:pPr>
      <w:r>
        <w:continuationSeparator/>
      </w:r>
    </w:p>
  </w:endnote>
  <w:endnote w:type="continuationNotice" w:id="1">
    <w:p w14:paraId="2FE47214" w14:textId="77777777" w:rsidR="00C76CA6" w:rsidRDefault="00C76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3DB12" w14:textId="77777777" w:rsidR="006D19CA" w:rsidRDefault="006D19CA" w:rsidP="004438FD">
      <w:pPr>
        <w:spacing w:after="0" w:line="240" w:lineRule="auto"/>
      </w:pPr>
      <w:r>
        <w:separator/>
      </w:r>
    </w:p>
  </w:footnote>
  <w:footnote w:type="continuationSeparator" w:id="0">
    <w:p w14:paraId="713F3636" w14:textId="77777777" w:rsidR="006D19CA" w:rsidRDefault="006D19CA" w:rsidP="004438FD">
      <w:pPr>
        <w:spacing w:after="0" w:line="240" w:lineRule="auto"/>
      </w:pPr>
      <w:r>
        <w:continuationSeparator/>
      </w:r>
    </w:p>
  </w:footnote>
  <w:footnote w:type="continuationNotice" w:id="1">
    <w:p w14:paraId="429C73D4" w14:textId="77777777" w:rsidR="00C76CA6" w:rsidRDefault="00C76C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08F9" w14:textId="7B3521EF" w:rsidR="004438FD" w:rsidRDefault="004438FD" w:rsidP="004438FD">
    <w:pPr>
      <w:pStyle w:val="Header"/>
      <w:tabs>
        <w:tab w:val="clear" w:pos="4680"/>
        <w:tab w:val="clear" w:pos="9360"/>
        <w:tab w:val="left" w:pos="7860"/>
      </w:tabs>
    </w:pPr>
    <w:r>
      <w:rPr>
        <w:noProof/>
      </w:rPr>
      <w:drawing>
        <wp:anchor distT="0" distB="0" distL="114300" distR="114300" simplePos="0" relativeHeight="251658241" behindDoc="0" locked="0" layoutInCell="1" allowOverlap="1" wp14:anchorId="0B59B5E4" wp14:editId="06EB23C8">
          <wp:simplePos x="0" y="0"/>
          <wp:positionH relativeFrom="column">
            <wp:posOffset>5478780</wp:posOffset>
          </wp:positionH>
          <wp:positionV relativeFrom="paragraph">
            <wp:posOffset>-30480</wp:posOffset>
          </wp:positionV>
          <wp:extent cx="863600" cy="980472"/>
          <wp:effectExtent l="0" t="0" r="0" b="0"/>
          <wp:wrapNone/>
          <wp:docPr id="1842912950" name="Picture 3"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12950" name="Picture 3" descr="A yellow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3600" cy="9804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FE3E895" wp14:editId="7376D482">
          <wp:simplePos x="0" y="0"/>
          <wp:positionH relativeFrom="column">
            <wp:posOffset>-495300</wp:posOffset>
          </wp:positionH>
          <wp:positionV relativeFrom="paragraph">
            <wp:posOffset>-129540</wp:posOffset>
          </wp:positionV>
          <wp:extent cx="1333500" cy="1333500"/>
          <wp:effectExtent l="0" t="0" r="0" b="0"/>
          <wp:wrapNone/>
          <wp:docPr id="1880607675" name="Picture 2" descr="A logo with text and ray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607675" name="Picture 2" descr="A logo with text and ray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anchor>
      </w:drawing>
    </w:r>
    <w:r>
      <w:tab/>
    </w:r>
  </w:p>
  <w:p w14:paraId="66F0F54F" w14:textId="6430E551" w:rsidR="004438FD" w:rsidRDefault="004438FD" w:rsidP="004438FD">
    <w:pPr>
      <w:pStyle w:val="Header"/>
      <w:tabs>
        <w:tab w:val="clear" w:pos="4680"/>
        <w:tab w:val="clear" w:pos="9360"/>
        <w:tab w:val="left" w:pos="7860"/>
      </w:tabs>
    </w:pPr>
  </w:p>
  <w:p w14:paraId="25A30F3F" w14:textId="23C5ED81" w:rsidR="004438FD" w:rsidRDefault="004438FD" w:rsidP="004438FD">
    <w:pPr>
      <w:pStyle w:val="Header"/>
      <w:tabs>
        <w:tab w:val="clear" w:pos="4680"/>
        <w:tab w:val="clear" w:pos="9360"/>
        <w:tab w:val="left" w:pos="7860"/>
      </w:tabs>
    </w:pPr>
  </w:p>
  <w:p w14:paraId="6082A3D0" w14:textId="46E23201" w:rsidR="004438FD" w:rsidRDefault="004438FD" w:rsidP="004438FD">
    <w:pPr>
      <w:pStyle w:val="Header"/>
      <w:tabs>
        <w:tab w:val="clear" w:pos="4680"/>
        <w:tab w:val="clear" w:pos="9360"/>
        <w:tab w:val="left" w:pos="7860"/>
      </w:tabs>
    </w:pPr>
  </w:p>
  <w:p w14:paraId="5AD8DB1F" w14:textId="77777777" w:rsidR="004438FD" w:rsidRDefault="004438FD" w:rsidP="004438FD">
    <w:pPr>
      <w:pStyle w:val="Header"/>
      <w:tabs>
        <w:tab w:val="clear" w:pos="4680"/>
        <w:tab w:val="clear" w:pos="9360"/>
        <w:tab w:val="left" w:pos="7860"/>
      </w:tabs>
    </w:pPr>
  </w:p>
  <w:p w14:paraId="5F80275A" w14:textId="77777777" w:rsidR="004438FD" w:rsidRDefault="004438FD" w:rsidP="004438FD">
    <w:pPr>
      <w:pStyle w:val="Header"/>
      <w:tabs>
        <w:tab w:val="clear" w:pos="4680"/>
        <w:tab w:val="clear" w:pos="9360"/>
        <w:tab w:val="left" w:pos="7860"/>
      </w:tabs>
    </w:pPr>
  </w:p>
  <w:p w14:paraId="11724D52" w14:textId="77777777" w:rsidR="004438FD" w:rsidRDefault="004438FD" w:rsidP="004438FD">
    <w:pPr>
      <w:pStyle w:val="Header"/>
      <w:tabs>
        <w:tab w:val="clear" w:pos="4680"/>
        <w:tab w:val="clear" w:pos="9360"/>
        <w:tab w:val="left" w:pos="78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16ACA"/>
    <w:multiLevelType w:val="multilevel"/>
    <w:tmpl w:val="168A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F4460"/>
    <w:multiLevelType w:val="multilevel"/>
    <w:tmpl w:val="BDE4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115860">
    <w:abstractNumId w:val="1"/>
  </w:num>
  <w:num w:numId="2" w16cid:durableId="90580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FD"/>
    <w:rsid w:val="000012DB"/>
    <w:rsid w:val="000574DC"/>
    <w:rsid w:val="00152ED3"/>
    <w:rsid w:val="00297245"/>
    <w:rsid w:val="002C38C0"/>
    <w:rsid w:val="0038742D"/>
    <w:rsid w:val="004438FD"/>
    <w:rsid w:val="004D3D3A"/>
    <w:rsid w:val="0052319E"/>
    <w:rsid w:val="005966E1"/>
    <w:rsid w:val="005E252C"/>
    <w:rsid w:val="006007DB"/>
    <w:rsid w:val="006D19CA"/>
    <w:rsid w:val="007B17DB"/>
    <w:rsid w:val="00997576"/>
    <w:rsid w:val="00AA57AF"/>
    <w:rsid w:val="00C76CA6"/>
    <w:rsid w:val="00D3285D"/>
    <w:rsid w:val="00DD4B5E"/>
    <w:rsid w:val="00EC754C"/>
    <w:rsid w:val="00F56A7B"/>
    <w:rsid w:val="00FC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5490"/>
  <w15:chartTrackingRefBased/>
  <w15:docId w15:val="{5C2F9936-C94C-4ED7-A6CD-6349D5A6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8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8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8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8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8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8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8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8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8FD"/>
    <w:rPr>
      <w:rFonts w:eastAsiaTheme="majorEastAsia" w:cstheme="majorBidi"/>
      <w:color w:val="272727" w:themeColor="text1" w:themeTint="D8"/>
    </w:rPr>
  </w:style>
  <w:style w:type="paragraph" w:styleId="Title">
    <w:name w:val="Title"/>
    <w:basedOn w:val="Normal"/>
    <w:next w:val="Normal"/>
    <w:link w:val="TitleChar"/>
    <w:uiPriority w:val="10"/>
    <w:qFormat/>
    <w:rsid w:val="00443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8FD"/>
    <w:pPr>
      <w:spacing w:before="160"/>
      <w:jc w:val="center"/>
    </w:pPr>
    <w:rPr>
      <w:i/>
      <w:iCs/>
      <w:color w:val="404040" w:themeColor="text1" w:themeTint="BF"/>
    </w:rPr>
  </w:style>
  <w:style w:type="character" w:customStyle="1" w:styleId="QuoteChar">
    <w:name w:val="Quote Char"/>
    <w:basedOn w:val="DefaultParagraphFont"/>
    <w:link w:val="Quote"/>
    <w:uiPriority w:val="29"/>
    <w:rsid w:val="004438FD"/>
    <w:rPr>
      <w:i/>
      <w:iCs/>
      <w:color w:val="404040" w:themeColor="text1" w:themeTint="BF"/>
    </w:rPr>
  </w:style>
  <w:style w:type="paragraph" w:styleId="ListParagraph">
    <w:name w:val="List Paragraph"/>
    <w:basedOn w:val="Normal"/>
    <w:uiPriority w:val="34"/>
    <w:qFormat/>
    <w:rsid w:val="004438FD"/>
    <w:pPr>
      <w:ind w:left="720"/>
      <w:contextualSpacing/>
    </w:pPr>
  </w:style>
  <w:style w:type="character" w:styleId="IntenseEmphasis">
    <w:name w:val="Intense Emphasis"/>
    <w:basedOn w:val="DefaultParagraphFont"/>
    <w:uiPriority w:val="21"/>
    <w:qFormat/>
    <w:rsid w:val="004438FD"/>
    <w:rPr>
      <w:i/>
      <w:iCs/>
      <w:color w:val="0F4761" w:themeColor="accent1" w:themeShade="BF"/>
    </w:rPr>
  </w:style>
  <w:style w:type="paragraph" w:styleId="IntenseQuote">
    <w:name w:val="Intense Quote"/>
    <w:basedOn w:val="Normal"/>
    <w:next w:val="Normal"/>
    <w:link w:val="IntenseQuoteChar"/>
    <w:uiPriority w:val="30"/>
    <w:qFormat/>
    <w:rsid w:val="00443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8FD"/>
    <w:rPr>
      <w:i/>
      <w:iCs/>
      <w:color w:val="0F4761" w:themeColor="accent1" w:themeShade="BF"/>
    </w:rPr>
  </w:style>
  <w:style w:type="character" w:styleId="IntenseReference">
    <w:name w:val="Intense Reference"/>
    <w:basedOn w:val="DefaultParagraphFont"/>
    <w:uiPriority w:val="32"/>
    <w:qFormat/>
    <w:rsid w:val="004438FD"/>
    <w:rPr>
      <w:b/>
      <w:bCs/>
      <w:smallCaps/>
      <w:color w:val="0F4761" w:themeColor="accent1" w:themeShade="BF"/>
      <w:spacing w:val="5"/>
    </w:rPr>
  </w:style>
  <w:style w:type="paragraph" w:styleId="Header">
    <w:name w:val="header"/>
    <w:basedOn w:val="Normal"/>
    <w:link w:val="HeaderChar"/>
    <w:uiPriority w:val="99"/>
    <w:unhideWhenUsed/>
    <w:rsid w:val="00443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8FD"/>
  </w:style>
  <w:style w:type="paragraph" w:styleId="Footer">
    <w:name w:val="footer"/>
    <w:basedOn w:val="Normal"/>
    <w:link w:val="FooterChar"/>
    <w:uiPriority w:val="99"/>
    <w:unhideWhenUsed/>
    <w:rsid w:val="00443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8FD"/>
  </w:style>
  <w:style w:type="character" w:styleId="Hyperlink">
    <w:name w:val="Hyperlink"/>
    <w:basedOn w:val="DefaultParagraphFont"/>
    <w:uiPriority w:val="99"/>
    <w:unhideWhenUsed/>
    <w:rsid w:val="004438FD"/>
    <w:rPr>
      <w:color w:val="467886" w:themeColor="hyperlink"/>
      <w:u w:val="single"/>
    </w:rPr>
  </w:style>
  <w:style w:type="character" w:styleId="UnresolvedMention">
    <w:name w:val="Unresolved Mention"/>
    <w:basedOn w:val="DefaultParagraphFont"/>
    <w:uiPriority w:val="99"/>
    <w:semiHidden/>
    <w:unhideWhenUsed/>
    <w:rsid w:val="00443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831717">
      <w:bodyDiv w:val="1"/>
      <w:marLeft w:val="0"/>
      <w:marRight w:val="0"/>
      <w:marTop w:val="0"/>
      <w:marBottom w:val="0"/>
      <w:divBdr>
        <w:top w:val="none" w:sz="0" w:space="0" w:color="auto"/>
        <w:left w:val="none" w:sz="0" w:space="0" w:color="auto"/>
        <w:bottom w:val="none" w:sz="0" w:space="0" w:color="auto"/>
        <w:right w:val="none" w:sz="0" w:space="0" w:color="auto"/>
      </w:divBdr>
    </w:div>
    <w:div w:id="17563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nerations.asaging.org/ageism-media-insiders-perspective"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ournals.sagepub.com/doi/abs/10.1177/14680173241253495?journalCode=jswa" TargetMode="External"/><Relationship Id="rId17" Type="http://schemas.openxmlformats.org/officeDocument/2006/relationships/hyperlink" Target="https://asagingorg-my.sharepoint.com/personal/klink_asaging_org/Documents/Microsoft%20Teams%20Chat%20Files/www.asaging.org" TargetMode="External"/><Relationship Id="rId2" Type="http://schemas.openxmlformats.org/officeDocument/2006/relationships/customXml" Target="../customXml/item2.xml"/><Relationship Id="rId16" Type="http://schemas.openxmlformats.org/officeDocument/2006/relationships/hyperlink" Target="https://asaging.org/ageism-aware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o.int/news-room/questions-and-answers/item/ageing-ageism" TargetMode="External"/><Relationship Id="rId5" Type="http://schemas.openxmlformats.org/officeDocument/2006/relationships/settings" Target="settings.xml"/><Relationship Id="rId15" Type="http://schemas.openxmlformats.org/officeDocument/2006/relationships/hyperlink" Target="https://www.mdpi.com/1660-4601/17/9/3159" TargetMode="External"/><Relationship Id="rId10" Type="http://schemas.openxmlformats.org/officeDocument/2006/relationships/hyperlink" Target="https://asaging.org/sites/default/files/2024-08/Ageism%20Fact%20Sheet%20-%20Ageism%20Awareness%20Day.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who.int/news-room/questions-and-answers/item/ageing-ageism" TargetMode="External"/><Relationship Id="rId14" Type="http://schemas.openxmlformats.org/officeDocument/2006/relationships/hyperlink" Target="https://pubmed.ncbi.nlm.nih.gov/3444457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856CD5B9AA564D9370F0DE4B57AB08" ma:contentTypeVersion="15" ma:contentTypeDescription="Create a new document." ma:contentTypeScope="" ma:versionID="971ec2e2ccbc798d0540701a43fc8986">
  <xsd:schema xmlns:xsd="http://www.w3.org/2001/XMLSchema" xmlns:xs="http://www.w3.org/2001/XMLSchema" xmlns:p="http://schemas.microsoft.com/office/2006/metadata/properties" xmlns:ns2="23a82e9e-cdd7-40e9-a980-66fd901f2503" xmlns:ns3="aa36f5eb-b3e5-4d3d-8a01-44934ae1d5bd" targetNamespace="http://schemas.microsoft.com/office/2006/metadata/properties" ma:root="true" ma:fieldsID="1ed96f58d04dc2938d14f7095729e11a" ns2:_="" ns3:_="">
    <xsd:import namespace="23a82e9e-cdd7-40e9-a980-66fd901f2503"/>
    <xsd:import namespace="aa36f5eb-b3e5-4d3d-8a01-44934ae1d5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82e9e-cdd7-40e9-a980-66fd901f25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50365b-16db-45a9-8497-361ed0fed44e}" ma:internalName="TaxCatchAll" ma:showField="CatchAllData" ma:web="23a82e9e-cdd7-40e9-a980-66fd901f2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36f5eb-b3e5-4d3d-8a01-44934ae1d5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0bc643-2969-4bb8-b51a-dda02b128b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C627C-7464-452E-AE80-835371A549AF}">
  <ds:schemaRefs>
    <ds:schemaRef ds:uri="http://schemas.microsoft.com/sharepoint/v3/contenttype/forms"/>
  </ds:schemaRefs>
</ds:datastoreItem>
</file>

<file path=customXml/itemProps2.xml><?xml version="1.0" encoding="utf-8"?>
<ds:datastoreItem xmlns:ds="http://schemas.openxmlformats.org/officeDocument/2006/customXml" ds:itemID="{80F68CBC-B231-4007-92E0-8038F4B2D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82e9e-cdd7-40e9-a980-66fd901f2503"/>
    <ds:schemaRef ds:uri="aa36f5eb-b3e5-4d3d-8a01-44934ae1d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3054</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Link</dc:creator>
  <cp:keywords/>
  <dc:description/>
  <cp:lastModifiedBy>Kay Link</cp:lastModifiedBy>
  <cp:revision>4</cp:revision>
  <dcterms:created xsi:type="dcterms:W3CDTF">2024-08-08T16:55:00Z</dcterms:created>
  <dcterms:modified xsi:type="dcterms:W3CDTF">2024-08-08T18:41:00Z</dcterms:modified>
</cp:coreProperties>
</file>